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2538A9F7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заключения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672931">
        <w:rPr>
          <w:rFonts w:ascii="Times New Roman" w:hAnsi="Times New Roman" w:cs="Times New Roman"/>
          <w:sz w:val="28"/>
          <w:szCs w:val="28"/>
        </w:rPr>
        <w:t>05.04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4779255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436285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2D0D4A" w:rsidRPr="00CA20D0">
        <w:rPr>
          <w:sz w:val="28"/>
          <w:szCs w:val="28"/>
        </w:rPr>
        <w:t xml:space="preserve">я, по лоту № 1 – распоряжение от </w:t>
      </w:r>
      <w:r w:rsidR="00A66462" w:rsidRPr="00CA20D0">
        <w:rPr>
          <w:sz w:val="28"/>
          <w:szCs w:val="28"/>
        </w:rPr>
        <w:t>18.12</w:t>
      </w:r>
      <w:r w:rsidR="002D0D4A" w:rsidRPr="00CA20D0">
        <w:rPr>
          <w:sz w:val="28"/>
          <w:szCs w:val="28"/>
        </w:rPr>
        <w:t xml:space="preserve">.2023 № </w:t>
      </w:r>
      <w:r w:rsidR="00A66462" w:rsidRPr="00CA20D0">
        <w:rPr>
          <w:sz w:val="28"/>
          <w:szCs w:val="28"/>
        </w:rPr>
        <w:t>429</w:t>
      </w:r>
      <w:r w:rsidR="00775B1D" w:rsidRPr="00CA20D0">
        <w:rPr>
          <w:sz w:val="28"/>
          <w:szCs w:val="28"/>
        </w:rPr>
        <w:t>5</w:t>
      </w:r>
      <w:r w:rsidR="002D0D4A" w:rsidRPr="00CA20D0">
        <w:rPr>
          <w:sz w:val="28"/>
          <w:szCs w:val="28"/>
        </w:rPr>
        <w:t xml:space="preserve">, </w:t>
      </w:r>
      <w:r w:rsidR="007432D2">
        <w:rPr>
          <w:sz w:val="28"/>
          <w:szCs w:val="28"/>
        </w:rPr>
        <w:t>по лоту № 2</w:t>
      </w:r>
      <w:r w:rsidR="000607F1">
        <w:rPr>
          <w:sz w:val="28"/>
          <w:szCs w:val="28"/>
        </w:rPr>
        <w:t xml:space="preserve"> – распоряжение от 28</w:t>
      </w:r>
      <w:r w:rsidR="00DA716F">
        <w:rPr>
          <w:sz w:val="28"/>
          <w:szCs w:val="28"/>
        </w:rPr>
        <w:t xml:space="preserve">.02.2024 № </w:t>
      </w:r>
      <w:r w:rsidR="000607F1">
        <w:rPr>
          <w:sz w:val="28"/>
          <w:szCs w:val="28"/>
        </w:rPr>
        <w:t>524</w:t>
      </w:r>
      <w:r w:rsidR="00DA716F">
        <w:rPr>
          <w:sz w:val="28"/>
          <w:szCs w:val="28"/>
        </w:rPr>
        <w:t xml:space="preserve">, </w:t>
      </w:r>
      <w:r w:rsidR="000607F1">
        <w:rPr>
          <w:sz w:val="28"/>
          <w:szCs w:val="28"/>
        </w:rPr>
        <w:t>по лоту № 3 – распоряжение от 28</w:t>
      </w:r>
      <w:r w:rsidR="00DA716F">
        <w:rPr>
          <w:sz w:val="28"/>
          <w:szCs w:val="28"/>
        </w:rPr>
        <w:t xml:space="preserve">.02.2024 № </w:t>
      </w:r>
      <w:r w:rsidR="000607F1">
        <w:rPr>
          <w:sz w:val="28"/>
          <w:szCs w:val="28"/>
        </w:rPr>
        <w:t>522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C97BFF" w14:textId="4E59B838" w:rsidR="00A66462" w:rsidRPr="00A66462" w:rsidRDefault="00B32E35" w:rsidP="00A66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6315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разрешенное использование: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строительная промышленность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район, </w:t>
      </w:r>
      <w:proofErr w:type="spellStart"/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Хохловское</w:t>
      </w:r>
      <w:proofErr w:type="spellEnd"/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с/п, деревня </w:t>
      </w:r>
      <w:proofErr w:type="spellStart"/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Скобелевка</w:t>
      </w:r>
      <w:proofErr w:type="spellEnd"/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2260001:1489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Срок аренды 4 года 10 месяцев.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Ограничения и обременение </w:t>
      </w:r>
      <w:r w:rsidR="000F6A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отсутствуют</w:t>
      </w:r>
      <w:r w:rsidR="006E1B4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114</w:t>
      </w:r>
      <w:r w:rsid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четырнадцать тысяч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</w:t>
      </w:r>
      <w:r w:rsid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4 000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четырнадцать тысяч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коп.</w:t>
      </w:r>
    </w:p>
    <w:p w14:paraId="15DB0889" w14:textId="757C8846" w:rsidR="00020183" w:rsidRPr="00020183" w:rsidRDefault="00A66462" w:rsidP="00020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-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П1 «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прои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зводственных объектов IV класса опасности»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П1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Предельная высота зданий, строений, сооружений: Не подлежит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proofErr w:type="gramStart"/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60%, минимальные отступы от границ земельных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участка.</w:t>
      </w:r>
      <w:proofErr w:type="gramEnd"/>
    </w:p>
    <w:p w14:paraId="0B612B77" w14:textId="6EAF641E" w:rsidR="00D65755" w:rsidRDefault="00020183" w:rsidP="00A56E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 газораспределение Пермь» филиал в г. Пермь от 30.10.2023 № ПР-7224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Существующий газопровод высокого давления 1 категории расположен вдоль ул. </w:t>
      </w:r>
      <w:proofErr w:type="spellStart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Хохловская</w:t>
      </w:r>
      <w:proofErr w:type="spellEnd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д. </w:t>
      </w:r>
      <w:proofErr w:type="spellStart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Скобелевка</w:t>
      </w:r>
      <w:proofErr w:type="spellEnd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Ориентировочное расстояние от точки по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дключения до границы участка 255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п.м</w:t>
      </w:r>
      <w:proofErr w:type="spellEnd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ООО «Тепло сервис» № 42 от 08.11.2023 отсу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тствует техническая возможность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подклю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чения к системе теплоснабжения.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МКУ «Управление инфраструктурой и благоустройством Кондратовского ТО» от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26.10.2023 № СЭД-12-23ИСХ-245 техническая возможность подключения к централизованным системам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водоснабжения и водоотведения имеется. Примерное расстояние от земельного участка до централизованной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системы водоснабжения составляет – 663 метра, водоотведения составляет -977 метра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электроснабжения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 - «Пермэнерго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ТП-4221, мощность 15 кВт (письмо от 13.12.2023 № ПЭ/ПГЭС/22/612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="000F6A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14:paraId="5EA86537" w14:textId="08E53F66" w:rsidR="000043C0" w:rsidRPr="00A66462" w:rsidRDefault="00CA20D0" w:rsidP="000043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7432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1460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</w:t>
      </w:r>
      <w:r w:rsidR="000043C0" w:rsidRP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ранение автотранспорта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</w:t>
      </w:r>
      <w:r w:rsidR="000043C0" w:rsidRP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 край, муниципальный округ Пермский, посёлок Сылва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59:32:0050027:16736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Срок аренды 2 года 6 месяцев. Земельный участок частично расположен в охранной зоне ВЛ-0,4 </w:t>
      </w:r>
      <w:proofErr w:type="spellStart"/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(162,51 </w:t>
      </w:r>
      <w:proofErr w:type="spellStart"/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124 000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двадцать четыре тысячи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0043C0" w:rsidRP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124 000,00 (сто двадцать четыре тысячи) рублей 00 коп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7D3FDF12" w14:textId="4FFACACB" w:rsidR="000043C0" w:rsidRPr="00020183" w:rsidRDefault="000043C0" w:rsidP="000043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П-3 «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прои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зводственных и коммунальных объектов IV-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класса вредности»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П-3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Предельная высота зданий, строений, сооружений: Не подлежит 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й площади земельного участка – 8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0%,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</w:r>
      <w:r w:rsidRPr="000043C0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</w:t>
      </w:r>
      <w:r w:rsidRP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 подлежит установлению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573374" w:rsidRPr="00573374">
        <w:t xml:space="preserve"> </w:t>
      </w:r>
      <w:r w:rsidR="00573374" w:rsidRP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Подготовлен градостроительный план земельного участка.</w:t>
      </w:r>
    </w:p>
    <w:p w14:paraId="165DAB8E" w14:textId="19B12236" w:rsidR="000043C0" w:rsidRDefault="000043C0" w:rsidP="000043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 газораспределение Пермь» филиал в </w:t>
      </w:r>
      <w:r w:rsid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Пермском районе от 22.12.2023 № ПР-5219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 газопровод высокого </w:t>
      </w:r>
      <w:r w:rsid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давления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категории </w:t>
      </w:r>
      <w:r w:rsid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ул. Пермская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73374" w:rsidRP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(собственник - АО «Газпром газораспределение Пермь»)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Ориентировочное расстояние от точки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дключения до границы участка </w:t>
      </w:r>
      <w:r w:rsid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25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п.м</w:t>
      </w:r>
      <w:proofErr w:type="spellEnd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 w:rsid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11.12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.2023 </w:t>
      </w:r>
      <w:r w:rsid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№ СЭД- 2023-299-01-02исх-991 имеется </w:t>
      </w:r>
      <w:r w:rsidR="00E30B7B" w:rsidRP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техническая возможность подключения к централизованным системам водоснабжения. </w:t>
      </w:r>
      <w:r w:rsidR="00A22F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ехническая возможность 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подклю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чения к </w:t>
      </w:r>
      <w:r w:rsidR="00A22F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сетям водоотведения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теплоснабжения</w:t>
      </w:r>
      <w:r w:rsidR="00A22F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отсутствует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A22F81" w:rsidRPr="00A22F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Отвод сточных вод от объекта предусмотреть в герметичный накопитель с последующим вывозом.</w:t>
      </w:r>
      <w:r w:rsidR="00A22F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электроснабжения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 - «Пермэнерго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r w:rsid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(письмо от 13.12.2023 № ПЭ/Ц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ЭС</w:t>
      </w:r>
      <w:r w:rsid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/01/22/12390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14:paraId="308EB989" w14:textId="5AEF783F" w:rsidR="00A22F81" w:rsidRPr="00A66462" w:rsidRDefault="00A22F81" w:rsidP="00A22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649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магазины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</w:t>
      </w:r>
      <w:r w:rsidRP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край, муниципальный округ Пермский,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Ляды</w:t>
      </w:r>
      <w:proofErr w:type="spellEnd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59:32:1020001:3724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Срок аренды 2 года 6 месяцев. </w:t>
      </w:r>
      <w:r w:rsidR="005F3383" w:rsidRP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расположен в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III</w:t>
      </w:r>
      <w:r w:rsidR="005F3383" w:rsidRP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поясе зоны санитарной охраны двух скважин № № 3832, 3833 в селе Старые </w:t>
      </w:r>
      <w:proofErr w:type="spellStart"/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Ляды</w:t>
      </w:r>
      <w:proofErr w:type="spellEnd"/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proofErr w:type="spellStart"/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Лядовское</w:t>
      </w:r>
      <w:proofErr w:type="spellEnd"/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месторождение подземных вод.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частично расположен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 II</w:t>
      </w:r>
      <w:r w:rsidR="005F3383" w:rsidRP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поясе з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оны санитарной охраны двух скваж</w:t>
      </w:r>
      <w:r w:rsidR="005F3383" w:rsidRP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ин № № 3832, 3833 в селе Старые </w:t>
      </w:r>
      <w:proofErr w:type="spellStart"/>
      <w:r w:rsidR="005F3383" w:rsidRP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Ляды</w:t>
      </w:r>
      <w:proofErr w:type="spellEnd"/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(517,83 </w:t>
      </w:r>
      <w:proofErr w:type="spellStart"/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</w:t>
      </w:r>
      <w:r w:rsidR="005F3383" w:rsidRP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частично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охранной зоне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 сип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0,4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52,13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частично в охранной зоне подземных инженерных сетей канализации (209,85 </w:t>
      </w:r>
      <w:proofErr w:type="spellStart"/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сто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 тысяч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5F3383" w:rsidRP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106 000,00 (сто шесть тысяч) рублей </w:t>
      </w:r>
      <w:r w:rsidRP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коп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573374" w:rsidRPr="00573374">
        <w:t xml:space="preserve"> </w:t>
      </w:r>
    </w:p>
    <w:p w14:paraId="6E7081ED" w14:textId="4165F9F8" w:rsidR="00A22F81" w:rsidRPr="00020183" w:rsidRDefault="00A22F81" w:rsidP="00A22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-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О-1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Зона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делового, общественного и коммерческого назначения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О-1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этажа.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й площади земельного участка – 8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0%,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</w:r>
      <w:r w:rsidRPr="000043C0">
        <w:t xml:space="preserve"> </w:t>
      </w:r>
      <w:r w:rsidR="005F33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573374" w:rsidRPr="00573374">
        <w:t xml:space="preserve"> </w:t>
      </w:r>
      <w:r w:rsidR="00573374" w:rsidRP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Подготовлен градостроительный план земельного участка.</w:t>
      </w:r>
      <w:proofErr w:type="gramEnd"/>
    </w:p>
    <w:p w14:paraId="6D355409" w14:textId="5BEBCA1E" w:rsidR="00A22F81" w:rsidRDefault="00A22F81" w:rsidP="00A22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 газораспределение Пермь» филиал в Пермско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 районе от 22.12.2023 № ПР-5214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 газопровод 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низкого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давления по ул. 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Строительная (собственник - </w:t>
      </w:r>
      <w:r w:rsidR="00573374" w:rsidRP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АО «Газпром газораспределение Пермь»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Ориентировочное расстояние от точки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дключения до границы участка 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п.м</w:t>
      </w:r>
      <w:proofErr w:type="spellEnd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.12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№ СЭД- 2023-299-01-02исх-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1035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имеется </w:t>
      </w:r>
      <w:r w:rsidRP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техническая возможность подключения к централи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зованным системам водоснабжения,</w:t>
      </w:r>
      <w:r w:rsidRPr="00E30B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73374" w:rsidRP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водоотведения и теплоснабжения</w:t>
      </w:r>
      <w:r w:rsidRPr="00A22F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Имеется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электроснабжения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 - «Пермэнерго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(письмо от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.12.2023 № ПЭ/ЦЭС/01/22/12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749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14:paraId="2B6C15B8" w14:textId="34DFF0E0" w:rsidR="00F227EA" w:rsidRPr="00884F3B" w:rsidRDefault="00F227EA" w:rsidP="00F218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lastRenderedPageBreak/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14205A2E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672931">
        <w:rPr>
          <w:rFonts w:ascii="Times New Roman" w:hAnsi="Times New Roman" w:cs="Times New Roman"/>
          <w:sz w:val="28"/>
          <w:szCs w:val="28"/>
        </w:rPr>
        <w:t>29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672931">
        <w:rPr>
          <w:rFonts w:ascii="Times New Roman" w:hAnsi="Times New Roman" w:cs="Times New Roman"/>
          <w:sz w:val="28"/>
          <w:szCs w:val="28"/>
        </w:rPr>
        <w:t>февраля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2CB68F9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672931">
        <w:rPr>
          <w:rFonts w:ascii="Times New Roman" w:hAnsi="Times New Roman" w:cs="Times New Roman"/>
          <w:sz w:val="28"/>
          <w:szCs w:val="28"/>
        </w:rPr>
        <w:t>01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672931">
        <w:rPr>
          <w:rFonts w:ascii="Times New Roman" w:hAnsi="Times New Roman" w:cs="Times New Roman"/>
          <w:sz w:val="28"/>
          <w:szCs w:val="28"/>
        </w:rPr>
        <w:t>апреля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65A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0A89C604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672931">
        <w:rPr>
          <w:rFonts w:ascii="Times New Roman" w:hAnsi="Times New Roman" w:cs="Times New Roman"/>
          <w:sz w:val="28"/>
          <w:szCs w:val="28"/>
        </w:rPr>
        <w:t>04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672931">
        <w:rPr>
          <w:rFonts w:ascii="Times New Roman" w:hAnsi="Times New Roman" w:cs="Times New Roman"/>
          <w:sz w:val="28"/>
          <w:szCs w:val="28"/>
        </w:rPr>
        <w:t>апреля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50881A39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672931">
        <w:rPr>
          <w:rFonts w:ascii="Times New Roman" w:hAnsi="Times New Roman" w:cs="Times New Roman"/>
          <w:sz w:val="28"/>
          <w:szCs w:val="28"/>
        </w:rPr>
        <w:t>05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672931">
        <w:rPr>
          <w:rFonts w:ascii="Times New Roman" w:hAnsi="Times New Roman" w:cs="Times New Roman"/>
          <w:sz w:val="28"/>
          <w:szCs w:val="28"/>
        </w:rPr>
        <w:t>апреля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1F78C10C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>арен</w:t>
      </w:r>
      <w:r w:rsidR="007E2C91">
        <w:rPr>
          <w:rFonts w:ascii="Times New Roman" w:hAnsi="Times New Roman" w:cs="Times New Roman"/>
          <w:sz w:val="28"/>
          <w:szCs w:val="28"/>
        </w:rPr>
        <w:t>ды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</w:t>
      </w:r>
      <w:r w:rsidRPr="009C466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2137"/>
    <w:rsid w:val="0006272B"/>
    <w:rsid w:val="00077CF6"/>
    <w:rsid w:val="00082C27"/>
    <w:rsid w:val="000862D2"/>
    <w:rsid w:val="000B4360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4582F"/>
    <w:rsid w:val="00247F5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73374"/>
    <w:rsid w:val="005C056E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713060"/>
    <w:rsid w:val="00733099"/>
    <w:rsid w:val="007432D2"/>
    <w:rsid w:val="00757BD8"/>
    <w:rsid w:val="007606F4"/>
    <w:rsid w:val="00775B1D"/>
    <w:rsid w:val="00797CB8"/>
    <w:rsid w:val="007D56C6"/>
    <w:rsid w:val="007E2C91"/>
    <w:rsid w:val="007F153F"/>
    <w:rsid w:val="007F260A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D510D"/>
    <w:rsid w:val="00D4354D"/>
    <w:rsid w:val="00D634E5"/>
    <w:rsid w:val="00D65755"/>
    <w:rsid w:val="00D878FE"/>
    <w:rsid w:val="00D9066D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90E8F"/>
    <w:rsid w:val="00E96EEC"/>
    <w:rsid w:val="00E9739A"/>
    <w:rsid w:val="00EE05DB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10</cp:revision>
  <cp:lastPrinted>2023-08-29T08:17:00Z</cp:lastPrinted>
  <dcterms:created xsi:type="dcterms:W3CDTF">2024-02-27T09:10:00Z</dcterms:created>
  <dcterms:modified xsi:type="dcterms:W3CDTF">2024-02-28T04:40:00Z</dcterms:modified>
</cp:coreProperties>
</file>